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7BB35" w14:textId="2587B818" w:rsidR="00FD5434" w:rsidRPr="007032CA" w:rsidRDefault="00FD5434" w:rsidP="00FD5434">
      <w:pPr>
        <w:autoSpaceDE w:val="0"/>
        <w:autoSpaceDN w:val="0"/>
        <w:adjustRightInd w:val="0"/>
        <w:spacing w:line="240" w:lineRule="auto"/>
        <w:rPr>
          <w:rFonts w:cs="Arial"/>
          <w:b/>
          <w:bCs/>
          <w:szCs w:val="24"/>
          <w:lang w:eastAsia="en-GB"/>
        </w:rPr>
      </w:pPr>
      <w:r>
        <w:rPr>
          <w:rFonts w:cs="Arial"/>
          <w:b/>
          <w:bCs/>
          <w:szCs w:val="24"/>
          <w:lang w:eastAsia="en-GB"/>
        </w:rPr>
        <w:t>Cumberland Health &amp; Wellbeing Board – Supplementary Statement</w:t>
      </w:r>
    </w:p>
    <w:p w14:paraId="10B8E44F" w14:textId="3484266C" w:rsidR="007032CA" w:rsidRPr="00F963F1" w:rsidRDefault="007032CA" w:rsidP="007032CA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n-GB"/>
        </w:rPr>
      </w:pPr>
      <w:bookmarkStart w:id="0" w:name="Date"/>
      <w:bookmarkEnd w:id="0"/>
    </w:p>
    <w:p w14:paraId="201B636C" w14:textId="77777777" w:rsidR="007032CA" w:rsidRPr="00F963F1" w:rsidRDefault="007032CA" w:rsidP="007032CA">
      <w:pPr>
        <w:autoSpaceDE w:val="0"/>
        <w:autoSpaceDN w:val="0"/>
        <w:adjustRightInd w:val="0"/>
        <w:spacing w:line="240" w:lineRule="auto"/>
        <w:rPr>
          <w:rFonts w:cs="Arial"/>
          <w:sz w:val="22"/>
          <w:szCs w:val="22"/>
          <w:lang w:eastAsia="en-GB"/>
        </w:rPr>
      </w:pPr>
    </w:p>
    <w:p w14:paraId="2768A85F" w14:textId="38E5D001" w:rsidR="00147EAD" w:rsidRPr="00F963F1" w:rsidRDefault="00FD5434">
      <w:pPr>
        <w:rPr>
          <w:rFonts w:cs="Arial"/>
          <w:sz w:val="22"/>
          <w:szCs w:val="22"/>
          <w:lang w:eastAsia="en-GB"/>
        </w:rPr>
      </w:pPr>
      <w:r w:rsidRPr="00F963F1">
        <w:rPr>
          <w:rFonts w:cs="Arial"/>
          <w:sz w:val="22"/>
          <w:szCs w:val="22"/>
          <w:lang w:eastAsia="en-GB"/>
        </w:rPr>
        <w:t xml:space="preserve">This supplementary statement has been prepared and issued by the Director of </w:t>
      </w:r>
      <w:r w:rsidR="0009641F" w:rsidRPr="0009641F">
        <w:rPr>
          <w:rFonts w:cs="Arial"/>
          <w:sz w:val="22"/>
          <w:szCs w:val="22"/>
          <w:lang w:eastAsia="en-GB"/>
        </w:rPr>
        <w:t xml:space="preserve">Public Health, Customer and Community Wellbeing, </w:t>
      </w:r>
      <w:r w:rsidR="0009641F">
        <w:rPr>
          <w:rFonts w:cs="Arial"/>
          <w:sz w:val="22"/>
          <w:szCs w:val="22"/>
          <w:lang w:eastAsia="en-GB"/>
        </w:rPr>
        <w:t xml:space="preserve">at </w:t>
      </w:r>
      <w:r w:rsidR="0009641F" w:rsidRPr="0009641F">
        <w:rPr>
          <w:rFonts w:cs="Arial"/>
          <w:sz w:val="22"/>
          <w:szCs w:val="22"/>
          <w:lang w:eastAsia="en-GB"/>
        </w:rPr>
        <w:t>Cumberland Council</w:t>
      </w:r>
      <w:r w:rsidR="0009641F" w:rsidRPr="0009641F">
        <w:rPr>
          <w:rFonts w:cs="Arial"/>
          <w:sz w:val="22"/>
          <w:szCs w:val="22"/>
          <w:lang w:eastAsia="en-GB"/>
        </w:rPr>
        <w:t xml:space="preserve"> </w:t>
      </w:r>
      <w:r w:rsidRPr="00F963F1">
        <w:rPr>
          <w:rFonts w:cs="Arial"/>
          <w:sz w:val="22"/>
          <w:szCs w:val="22"/>
          <w:lang w:eastAsia="en-GB"/>
        </w:rPr>
        <w:t>on behalf of the Health and Wellbeing Board of Cumberland and forms part of the Pharmaceutical Needs Assessment.</w:t>
      </w:r>
    </w:p>
    <w:p w14:paraId="625115D7" w14:textId="5BBFB99D" w:rsidR="00F25E18" w:rsidRPr="00F963F1" w:rsidRDefault="00F25E18">
      <w:pPr>
        <w:rPr>
          <w:rFonts w:cs="Arial"/>
          <w:sz w:val="22"/>
          <w:szCs w:val="22"/>
          <w:lang w:eastAsia="en-GB"/>
        </w:rPr>
      </w:pPr>
    </w:p>
    <w:p w14:paraId="65409413" w14:textId="3E2AC0B8" w:rsidR="00F25E18" w:rsidRPr="00F963F1" w:rsidRDefault="00F25E18">
      <w:pPr>
        <w:rPr>
          <w:rFonts w:cs="Arial"/>
          <w:sz w:val="22"/>
          <w:szCs w:val="22"/>
          <w:lang w:eastAsia="en-GB"/>
        </w:rPr>
      </w:pPr>
      <w:r w:rsidRPr="00F963F1">
        <w:rPr>
          <w:rFonts w:cs="Arial"/>
          <w:sz w:val="22"/>
          <w:szCs w:val="22"/>
          <w:lang w:eastAsia="en-GB"/>
        </w:rPr>
        <w:t>Since the publication of Cumberland’s Pharmaceutical Needs Assessment (PNA) the following change in pharmaceutical services has occurred:</w:t>
      </w:r>
    </w:p>
    <w:p w14:paraId="09301A8E" w14:textId="1577668C" w:rsidR="00F25E18" w:rsidRPr="00F963F1" w:rsidRDefault="00F25E18">
      <w:pPr>
        <w:rPr>
          <w:rFonts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5E18" w:rsidRPr="00F963F1" w14:paraId="2DFA7369" w14:textId="77777777" w:rsidTr="00AB7340">
        <w:tc>
          <w:tcPr>
            <w:tcW w:w="4814" w:type="dxa"/>
          </w:tcPr>
          <w:p w14:paraId="76BF3997" w14:textId="5E8857A7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Cumberland PNA publication</w:t>
            </w:r>
            <w:r w:rsidR="00AB7340" w:rsidRPr="00F963F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21114114" w14:textId="1B488122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December 2023</w:t>
            </w:r>
          </w:p>
        </w:tc>
      </w:tr>
      <w:tr w:rsidR="00F25E18" w:rsidRPr="00F963F1" w14:paraId="0DDC5AE8" w14:textId="77777777" w:rsidTr="00AB7340">
        <w:tc>
          <w:tcPr>
            <w:tcW w:w="4814" w:type="dxa"/>
          </w:tcPr>
          <w:p w14:paraId="7C2A4022" w14:textId="2F979728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Date of Supplementary Statement issued</w:t>
            </w:r>
            <w:r w:rsidR="00AB7340" w:rsidRPr="00F963F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7BEB5301" w14:textId="5C4BDED7" w:rsidR="00F25E18" w:rsidRPr="00F963F1" w:rsidRDefault="001675D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Pr="001675DD">
              <w:rPr>
                <w:rFonts w:cs="Arial"/>
                <w:sz w:val="22"/>
                <w:szCs w:val="22"/>
                <w:vertAlign w:val="superscript"/>
              </w:rPr>
              <w:t>rd</w:t>
            </w:r>
            <w:r>
              <w:rPr>
                <w:rFonts w:cs="Arial"/>
                <w:sz w:val="22"/>
                <w:szCs w:val="22"/>
              </w:rPr>
              <w:t xml:space="preserve"> February 2026</w:t>
            </w:r>
          </w:p>
        </w:tc>
      </w:tr>
      <w:tr w:rsidR="00F25E18" w:rsidRPr="00F963F1" w14:paraId="2BED356B" w14:textId="77777777" w:rsidTr="00AB7340">
        <w:tc>
          <w:tcPr>
            <w:tcW w:w="4814" w:type="dxa"/>
          </w:tcPr>
          <w:p w14:paraId="59982E67" w14:textId="658EAC2D" w:rsidR="00F25E18" w:rsidRPr="00F963F1" w:rsidRDefault="00F25E18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Supplementary Statement number</w:t>
            </w:r>
            <w:r w:rsidR="00AB7340" w:rsidRPr="00F963F1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4814" w:type="dxa"/>
          </w:tcPr>
          <w:p w14:paraId="3E390121" w14:textId="4C5EB91B" w:rsidR="00F25E18" w:rsidRPr="00F963F1" w:rsidRDefault="001675DD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</w:tr>
    </w:tbl>
    <w:p w14:paraId="20A5BBBD" w14:textId="2B4BA546" w:rsidR="00F25E18" w:rsidRPr="00F963F1" w:rsidRDefault="00F25E18">
      <w:pPr>
        <w:rPr>
          <w:rFonts w:cs="Arial"/>
          <w:sz w:val="22"/>
          <w:szCs w:val="22"/>
        </w:rPr>
      </w:pPr>
    </w:p>
    <w:p w14:paraId="10102BF3" w14:textId="34B348B3" w:rsidR="00F25E18" w:rsidRPr="00F963F1" w:rsidRDefault="00F25E18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The following pharmacy has </w:t>
      </w:r>
      <w:r w:rsidRPr="006D1E48">
        <w:rPr>
          <w:rFonts w:cs="Arial"/>
          <w:sz w:val="22"/>
          <w:szCs w:val="22"/>
          <w:u w:val="single"/>
        </w:rPr>
        <w:t>closed</w:t>
      </w:r>
      <w:r w:rsidR="00D67366">
        <w:rPr>
          <w:rFonts w:cs="Arial"/>
          <w:sz w:val="22"/>
          <w:szCs w:val="22"/>
        </w:rPr>
        <w:t xml:space="preserve"> </w:t>
      </w:r>
      <w:proofErr w:type="gramStart"/>
      <w:r w:rsidR="00D67366">
        <w:rPr>
          <w:rFonts w:cs="Arial"/>
          <w:sz w:val="22"/>
          <w:szCs w:val="22"/>
        </w:rPr>
        <w:t>as a result of</w:t>
      </w:r>
      <w:proofErr w:type="gramEnd"/>
      <w:r w:rsidR="00D67366">
        <w:rPr>
          <w:rFonts w:cs="Arial"/>
          <w:sz w:val="22"/>
          <w:szCs w:val="22"/>
        </w:rPr>
        <w:t xml:space="preserve"> a successful </w:t>
      </w:r>
      <w:r w:rsidR="001675DD" w:rsidRPr="001675DD">
        <w:rPr>
          <w:rFonts w:cs="Arial"/>
          <w:sz w:val="22"/>
          <w:szCs w:val="22"/>
        </w:rPr>
        <w:t>consolidation</w:t>
      </w:r>
      <w:r w:rsidR="00D67366">
        <w:rPr>
          <w:rFonts w:cs="Arial"/>
          <w:sz w:val="22"/>
          <w:szCs w:val="22"/>
        </w:rPr>
        <w:t xml:space="preserve"> application</w:t>
      </w:r>
      <w:r w:rsidRPr="001675DD">
        <w:rPr>
          <w:rFonts w:cs="Arial"/>
          <w:sz w:val="22"/>
          <w:szCs w:val="22"/>
        </w:rPr>
        <w:t>:</w:t>
      </w:r>
    </w:p>
    <w:p w14:paraId="2D7675E8" w14:textId="77777777" w:rsidR="00F25E18" w:rsidRPr="00F963F1" w:rsidRDefault="00F25E18">
      <w:pPr>
        <w:rPr>
          <w:rFonts w:cs="Arial"/>
          <w:sz w:val="22"/>
          <w:szCs w:val="22"/>
        </w:rPr>
      </w:pPr>
    </w:p>
    <w:p w14:paraId="200F79B5" w14:textId="22943360" w:rsidR="00F25E18" w:rsidRPr="00F963F1" w:rsidRDefault="001675DD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Dalston Pharmacy</w:t>
      </w:r>
      <w:r w:rsidR="00F25E18" w:rsidRPr="00F963F1">
        <w:rPr>
          <w:rFonts w:cs="Arial"/>
          <w:b/>
          <w:bCs/>
          <w:sz w:val="22"/>
          <w:szCs w:val="22"/>
        </w:rPr>
        <w:t xml:space="preserve">, </w:t>
      </w:r>
      <w:r w:rsidRPr="001675DD">
        <w:rPr>
          <w:rFonts w:cs="Arial"/>
          <w:b/>
          <w:bCs/>
          <w:sz w:val="22"/>
          <w:szCs w:val="22"/>
        </w:rPr>
        <w:t>Arnside House, Sycamore Lane, Parklands Village, Carlisle, CA</w:t>
      </w:r>
      <w:proofErr w:type="gramStart"/>
      <w:r w:rsidRPr="001675DD">
        <w:rPr>
          <w:rFonts w:cs="Arial"/>
          <w:b/>
          <w:bCs/>
          <w:sz w:val="22"/>
          <w:szCs w:val="22"/>
        </w:rPr>
        <w:t>1  3</w:t>
      </w:r>
      <w:proofErr w:type="gramEnd"/>
      <w:r w:rsidRPr="001675DD">
        <w:rPr>
          <w:rFonts w:cs="Arial"/>
          <w:b/>
          <w:bCs/>
          <w:sz w:val="22"/>
          <w:szCs w:val="22"/>
        </w:rPr>
        <w:t>SR</w:t>
      </w:r>
    </w:p>
    <w:p w14:paraId="7D490489" w14:textId="116AB0F0" w:rsidR="00F25E18" w:rsidRPr="00F963F1" w:rsidRDefault="00F25E18">
      <w:pPr>
        <w:rPr>
          <w:rFonts w:cs="Arial"/>
          <w:sz w:val="22"/>
          <w:szCs w:val="22"/>
        </w:rPr>
      </w:pPr>
    </w:p>
    <w:p w14:paraId="4512ADD8" w14:textId="0FC03993" w:rsidR="00AB7340" w:rsidRPr="00F963F1" w:rsidRDefault="00AB7340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>The pharmacy provided the following services: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56A" w:rsidRPr="00F963F1" w14:paraId="1A657476" w14:textId="77777777" w:rsidTr="0069456A">
        <w:tc>
          <w:tcPr>
            <w:tcW w:w="9628" w:type="dxa"/>
          </w:tcPr>
          <w:p w14:paraId="4516E53F" w14:textId="53F3A109" w:rsidR="0069456A" w:rsidRPr="00F963F1" w:rsidRDefault="0069456A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>Community Pharmacist Consultation Service (CPCS); Flu vaccinations; New Medicine Service (NMS); Emergency Hormonal Contraception (EHC); Stop Smoking; Think Pharmacy First</w:t>
            </w:r>
            <w:r w:rsidR="009C387A" w:rsidRPr="00F963F1">
              <w:rPr>
                <w:rFonts w:cs="Arial"/>
                <w:sz w:val="22"/>
                <w:szCs w:val="22"/>
              </w:rPr>
              <w:t xml:space="preserve"> </w:t>
            </w:r>
            <w:r w:rsidR="009C387A">
              <w:rPr>
                <w:rFonts w:cs="Arial"/>
                <w:sz w:val="22"/>
                <w:szCs w:val="22"/>
              </w:rPr>
              <w:t xml:space="preserve">- </w:t>
            </w:r>
            <w:r w:rsidR="009C387A" w:rsidRPr="00F963F1">
              <w:rPr>
                <w:rFonts w:cs="Arial"/>
                <w:sz w:val="22"/>
                <w:szCs w:val="22"/>
              </w:rPr>
              <w:t>Minor Ailment</w:t>
            </w:r>
            <w:r w:rsidR="009C387A">
              <w:rPr>
                <w:rFonts w:cs="Arial"/>
                <w:sz w:val="22"/>
                <w:szCs w:val="22"/>
              </w:rPr>
              <w:t>s.</w:t>
            </w:r>
          </w:p>
        </w:tc>
      </w:tr>
    </w:tbl>
    <w:p w14:paraId="6B3E4A9F" w14:textId="77777777" w:rsidR="00AB7340" w:rsidRPr="00F963F1" w:rsidRDefault="00AB7340">
      <w:pPr>
        <w:rPr>
          <w:rFonts w:cs="Arial"/>
          <w:sz w:val="22"/>
          <w:szCs w:val="22"/>
        </w:rPr>
      </w:pPr>
    </w:p>
    <w:p w14:paraId="13919C44" w14:textId="7977ACAE" w:rsidR="00AB7340" w:rsidRPr="00F963F1" w:rsidRDefault="00AB7340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These services were provided at the following times: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56A" w:rsidRPr="00F963F1" w14:paraId="6AD723E2" w14:textId="77777777" w:rsidTr="0069456A">
        <w:tc>
          <w:tcPr>
            <w:tcW w:w="9628" w:type="dxa"/>
          </w:tcPr>
          <w:p w14:paraId="1E7ADF59" w14:textId="4247E855" w:rsidR="0069456A" w:rsidRPr="00F963F1" w:rsidRDefault="0069456A">
            <w:pPr>
              <w:rPr>
                <w:rFonts w:cs="Arial"/>
                <w:sz w:val="22"/>
                <w:szCs w:val="22"/>
              </w:rPr>
            </w:pPr>
            <w:r w:rsidRPr="00F963F1">
              <w:rPr>
                <w:rFonts w:cs="Arial"/>
                <w:sz w:val="22"/>
                <w:szCs w:val="22"/>
              </w:rPr>
              <w:t xml:space="preserve">Monday to Friday </w:t>
            </w:r>
            <w:r w:rsidR="009C387A">
              <w:rPr>
                <w:rFonts w:cs="Arial"/>
                <w:sz w:val="22"/>
                <w:szCs w:val="22"/>
              </w:rPr>
              <w:t>- 8.30</w:t>
            </w:r>
            <w:r w:rsidRPr="00F963F1">
              <w:rPr>
                <w:rFonts w:cs="Arial"/>
                <w:sz w:val="22"/>
                <w:szCs w:val="22"/>
              </w:rPr>
              <w:t xml:space="preserve">am to 6pm; Saturday </w:t>
            </w:r>
            <w:r w:rsidR="009C387A">
              <w:rPr>
                <w:rFonts w:cs="Arial"/>
                <w:sz w:val="22"/>
                <w:szCs w:val="22"/>
              </w:rPr>
              <w:t xml:space="preserve">– closed; </w:t>
            </w:r>
            <w:r w:rsidRPr="00F963F1">
              <w:rPr>
                <w:rFonts w:cs="Arial"/>
                <w:sz w:val="22"/>
                <w:szCs w:val="22"/>
              </w:rPr>
              <w:t xml:space="preserve">Sunday </w:t>
            </w:r>
            <w:r w:rsidR="009C387A">
              <w:rPr>
                <w:rFonts w:cs="Arial"/>
                <w:sz w:val="22"/>
                <w:szCs w:val="22"/>
              </w:rPr>
              <w:t xml:space="preserve">- </w:t>
            </w:r>
            <w:r w:rsidRPr="00F963F1">
              <w:rPr>
                <w:rFonts w:cs="Arial"/>
                <w:sz w:val="22"/>
                <w:szCs w:val="22"/>
              </w:rPr>
              <w:t>closed.</w:t>
            </w:r>
          </w:p>
        </w:tc>
      </w:tr>
    </w:tbl>
    <w:p w14:paraId="1D25DF12" w14:textId="77777777" w:rsidR="00AB7340" w:rsidRPr="00F963F1" w:rsidRDefault="00AB7340">
      <w:pPr>
        <w:rPr>
          <w:rFonts w:cs="Arial"/>
          <w:sz w:val="22"/>
          <w:szCs w:val="22"/>
        </w:rPr>
      </w:pPr>
    </w:p>
    <w:p w14:paraId="53155B9D" w14:textId="77777777" w:rsidR="0069456A" w:rsidRPr="00F963F1" w:rsidRDefault="00AB7340">
      <w:pPr>
        <w:rPr>
          <w:rFonts w:cs="Arial"/>
          <w:sz w:val="22"/>
          <w:szCs w:val="22"/>
        </w:rPr>
      </w:pPr>
      <w:r w:rsidRPr="00F963F1">
        <w:rPr>
          <w:rFonts w:cs="Arial"/>
          <w:sz w:val="22"/>
          <w:szCs w:val="22"/>
        </w:rPr>
        <w:t xml:space="preserve">The pharmacy closed 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456A" w:rsidRPr="00F963F1" w14:paraId="28359CF9" w14:textId="77777777" w:rsidTr="0069456A">
        <w:tc>
          <w:tcPr>
            <w:tcW w:w="9628" w:type="dxa"/>
          </w:tcPr>
          <w:p w14:paraId="2283753E" w14:textId="15C91950" w:rsidR="0069456A" w:rsidRPr="00F963F1" w:rsidRDefault="009C387A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31</w:t>
            </w:r>
            <w:r w:rsidRPr="009C387A">
              <w:rPr>
                <w:rFonts w:cs="Arial"/>
                <w:sz w:val="22"/>
                <w:szCs w:val="22"/>
                <w:vertAlign w:val="superscript"/>
              </w:rPr>
              <w:t>st</w:t>
            </w:r>
            <w:r>
              <w:rPr>
                <w:rFonts w:cs="Arial"/>
                <w:sz w:val="22"/>
                <w:szCs w:val="22"/>
              </w:rPr>
              <w:t xml:space="preserve"> January</w:t>
            </w:r>
            <w:r w:rsidR="0069456A" w:rsidRPr="00F963F1">
              <w:rPr>
                <w:rFonts w:cs="Arial"/>
                <w:sz w:val="22"/>
                <w:szCs w:val="22"/>
              </w:rPr>
              <w:t xml:space="preserve"> 202</w:t>
            </w:r>
            <w:r>
              <w:rPr>
                <w:rFonts w:cs="Arial"/>
                <w:sz w:val="22"/>
                <w:szCs w:val="22"/>
              </w:rPr>
              <w:t>6</w:t>
            </w:r>
          </w:p>
        </w:tc>
      </w:tr>
    </w:tbl>
    <w:p w14:paraId="4ADF625C" w14:textId="77777777" w:rsidR="00AB7340" w:rsidRPr="00F963F1" w:rsidRDefault="00AB7340">
      <w:pPr>
        <w:rPr>
          <w:rFonts w:cs="Arial"/>
          <w:sz w:val="22"/>
          <w:szCs w:val="22"/>
        </w:rPr>
      </w:pPr>
    </w:p>
    <w:p w14:paraId="52138E6C" w14:textId="5A30F907" w:rsidR="00D67366" w:rsidRDefault="00D67366" w:rsidP="00F963F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It is the opinion of Cumberland Health and Wellbeing Board that the removal of this pharmacy from the pharmaceutical list does not create a gap in pharmaceutical services provision that </w:t>
      </w:r>
      <w:r w:rsidR="006904AE">
        <w:rPr>
          <w:rFonts w:cs="Arial"/>
          <w:sz w:val="22"/>
          <w:szCs w:val="22"/>
        </w:rPr>
        <w:t>could be met by a routine application:</w:t>
      </w:r>
    </w:p>
    <w:p w14:paraId="2D73FEED" w14:textId="77777777" w:rsidR="0009641F" w:rsidRDefault="0009641F" w:rsidP="00F963F1">
      <w:pPr>
        <w:jc w:val="both"/>
        <w:rPr>
          <w:rFonts w:cs="Arial"/>
          <w:sz w:val="22"/>
          <w:szCs w:val="22"/>
        </w:rPr>
      </w:pPr>
    </w:p>
    <w:p w14:paraId="3E949046" w14:textId="197584C7" w:rsidR="006904AE" w:rsidRPr="006904AE" w:rsidRDefault="006904AE" w:rsidP="006904AE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904AE">
        <w:rPr>
          <w:rFonts w:cs="Arial"/>
          <w:sz w:val="22"/>
          <w:szCs w:val="22"/>
        </w:rPr>
        <w:t>To meet a current or future need for pharmaceutical services</w:t>
      </w:r>
    </w:p>
    <w:p w14:paraId="0E3483E2" w14:textId="36AC7810" w:rsidR="006904AE" w:rsidRPr="006904AE" w:rsidRDefault="006904AE" w:rsidP="006904AE">
      <w:pPr>
        <w:pStyle w:val="ListParagraph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904AE">
        <w:rPr>
          <w:rFonts w:cs="Arial"/>
          <w:sz w:val="22"/>
          <w:szCs w:val="22"/>
        </w:rPr>
        <w:t>To secure improvements, or better access, to pharmaceutical services</w:t>
      </w:r>
    </w:p>
    <w:p w14:paraId="1E5FE82B" w14:textId="77777777" w:rsidR="009C387A" w:rsidRDefault="009C387A" w:rsidP="00F963F1">
      <w:pPr>
        <w:jc w:val="both"/>
        <w:rPr>
          <w:rFonts w:cs="Arial"/>
          <w:sz w:val="22"/>
          <w:szCs w:val="22"/>
        </w:rPr>
      </w:pPr>
    </w:p>
    <w:p w14:paraId="3479E72A" w14:textId="0F037A50" w:rsidR="00F963F1" w:rsidRPr="00F963F1" w:rsidRDefault="006904AE" w:rsidP="00F963F1">
      <w:pPr>
        <w:jc w:val="both"/>
        <w:rPr>
          <w:rFonts w:cs="Arial"/>
          <w:color w:val="FF0000"/>
          <w:sz w:val="22"/>
          <w:szCs w:val="22"/>
        </w:rPr>
      </w:pPr>
      <w:r>
        <w:rPr>
          <w:rFonts w:cs="Arial"/>
          <w:sz w:val="22"/>
          <w:szCs w:val="22"/>
        </w:rPr>
        <w:t>Supplementary statement issued by:</w:t>
      </w:r>
    </w:p>
    <w:p w14:paraId="1198EC9E" w14:textId="32BA214C" w:rsidR="00AB7340" w:rsidRPr="00F963F1" w:rsidRDefault="00AB7340">
      <w:pPr>
        <w:rPr>
          <w:rFonts w:cs="Arial"/>
          <w:i/>
          <w:iCs/>
          <w:sz w:val="22"/>
          <w:szCs w:val="22"/>
        </w:rPr>
      </w:pPr>
    </w:p>
    <w:p w14:paraId="39AC2210" w14:textId="6B760DED" w:rsidR="006D1E48" w:rsidRPr="0009641F" w:rsidRDefault="00AB7340">
      <w:pPr>
        <w:rPr>
          <w:rFonts w:cs="Arial"/>
          <w:b/>
          <w:bCs/>
          <w:sz w:val="22"/>
          <w:szCs w:val="22"/>
        </w:rPr>
      </w:pPr>
      <w:r w:rsidRPr="0009641F">
        <w:rPr>
          <w:rFonts w:cs="Arial"/>
          <w:b/>
          <w:bCs/>
          <w:sz w:val="22"/>
          <w:szCs w:val="22"/>
        </w:rPr>
        <w:t>Colin Cox</w:t>
      </w:r>
    </w:p>
    <w:p w14:paraId="79560FBC" w14:textId="73E9254E" w:rsidR="00F963F1" w:rsidRPr="0009641F" w:rsidRDefault="00AB7340">
      <w:pPr>
        <w:rPr>
          <w:rFonts w:cs="Arial"/>
          <w:b/>
          <w:bCs/>
          <w:sz w:val="22"/>
          <w:szCs w:val="22"/>
        </w:rPr>
      </w:pPr>
      <w:r w:rsidRPr="0009641F">
        <w:rPr>
          <w:rFonts w:cs="Arial"/>
          <w:b/>
          <w:bCs/>
          <w:sz w:val="22"/>
          <w:szCs w:val="22"/>
        </w:rPr>
        <w:t xml:space="preserve">Director of </w:t>
      </w:r>
      <w:r w:rsidR="006904AE" w:rsidRPr="0009641F">
        <w:rPr>
          <w:rFonts w:cs="Arial"/>
          <w:b/>
          <w:bCs/>
          <w:sz w:val="22"/>
          <w:szCs w:val="22"/>
        </w:rPr>
        <w:t xml:space="preserve">Public </w:t>
      </w:r>
      <w:r w:rsidR="006904AE" w:rsidRPr="0009641F">
        <w:rPr>
          <w:rFonts w:cs="Arial"/>
          <w:b/>
          <w:bCs/>
          <w:sz w:val="22"/>
          <w:szCs w:val="22"/>
        </w:rPr>
        <w:t>Health, Customer and Community Wellbeing</w:t>
      </w:r>
      <w:r w:rsidR="006904AE" w:rsidRPr="0009641F">
        <w:rPr>
          <w:rFonts w:cs="Arial"/>
          <w:b/>
          <w:bCs/>
          <w:sz w:val="22"/>
          <w:szCs w:val="22"/>
        </w:rPr>
        <w:t>, Cumberland Council.</w:t>
      </w:r>
    </w:p>
    <w:sectPr w:rsidR="00F963F1" w:rsidRPr="0009641F" w:rsidSect="006D1E48">
      <w:headerReference w:type="default" r:id="rId10"/>
      <w:footerReference w:type="default" r:id="rId11"/>
      <w:type w:val="continuous"/>
      <w:pgSz w:w="11906" w:h="16838" w:code="9"/>
      <w:pgMar w:top="2835" w:right="1134" w:bottom="142" w:left="1134" w:header="567" w:footer="720" w:gutter="0"/>
      <w:paperSrc w:first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6596F" w14:textId="77777777" w:rsidR="00264CFD" w:rsidRDefault="00264CFD">
      <w:pPr>
        <w:spacing w:line="240" w:lineRule="auto"/>
      </w:pPr>
      <w:r>
        <w:separator/>
      </w:r>
    </w:p>
  </w:endnote>
  <w:endnote w:type="continuationSeparator" w:id="0">
    <w:p w14:paraId="152BEAF7" w14:textId="77777777" w:rsidR="00264CFD" w:rsidRDefault="00264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4AB0E" w14:textId="77777777" w:rsidR="00951115" w:rsidRPr="005840F7" w:rsidRDefault="00951115">
    <w:pPr>
      <w:pStyle w:val="Footer"/>
      <w:spacing w:line="240" w:lineRule="auto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6A1C8" w14:textId="77777777" w:rsidR="00264CFD" w:rsidRDefault="00264CFD">
      <w:pPr>
        <w:spacing w:line="240" w:lineRule="auto"/>
      </w:pPr>
      <w:r>
        <w:separator/>
      </w:r>
    </w:p>
  </w:footnote>
  <w:footnote w:type="continuationSeparator" w:id="0">
    <w:p w14:paraId="2C779313" w14:textId="77777777" w:rsidR="00264CFD" w:rsidRDefault="00264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Layout w:type="fixed"/>
      <w:tblLook w:val="0000" w:firstRow="0" w:lastRow="0" w:firstColumn="0" w:lastColumn="0" w:noHBand="0" w:noVBand="0"/>
    </w:tblPr>
    <w:tblGrid>
      <w:gridCol w:w="2977"/>
      <w:gridCol w:w="6804"/>
    </w:tblGrid>
    <w:tr w:rsidR="00955E8E" w14:paraId="2F6785AD" w14:textId="77777777" w:rsidTr="00BF3216">
      <w:tc>
        <w:tcPr>
          <w:tcW w:w="2977" w:type="dxa"/>
        </w:tcPr>
        <w:p w14:paraId="38D2448A" w14:textId="7393CF0B" w:rsidR="00955E8E" w:rsidRDefault="00FA2FF2" w:rsidP="00955E8E">
          <w:pPr>
            <w:pStyle w:val="Header"/>
            <w:tabs>
              <w:tab w:val="clear" w:pos="4153"/>
              <w:tab w:val="clear" w:pos="8306"/>
            </w:tabs>
            <w:spacing w:line="240" w:lineRule="auto"/>
            <w:ind w:left="-246" w:hanging="396"/>
            <w:jc w:val="center"/>
          </w:pPr>
          <w:r>
            <w:rPr>
              <w:noProof/>
            </w:rPr>
            <w:drawing>
              <wp:inline distT="0" distB="0" distL="0" distR="0" wp14:anchorId="3F44F4E8" wp14:editId="1C0051DE">
                <wp:extent cx="1466850" cy="1190625"/>
                <wp:effectExtent l="0" t="0" r="0" b="0"/>
                <wp:docPr id="9" name="Pictur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04" w:type="dxa"/>
        </w:tcPr>
        <w:p w14:paraId="7D473274" w14:textId="06FD03AB" w:rsidR="00955E8E" w:rsidRPr="0009641F" w:rsidRDefault="00955E8E" w:rsidP="00955E8E">
          <w:pPr>
            <w:pStyle w:val="Heading3"/>
            <w:jc w:val="right"/>
            <w:rPr>
              <w:rFonts w:ascii="Arial" w:hAnsi="Arial" w:cs="Arial"/>
              <w:sz w:val="22"/>
              <w:szCs w:val="22"/>
            </w:rPr>
          </w:pPr>
        </w:p>
      </w:tc>
    </w:tr>
  </w:tbl>
  <w:p w14:paraId="3180094D" w14:textId="08E472DC" w:rsidR="00955E8E" w:rsidRPr="00955E8E" w:rsidRDefault="00FA2FF2" w:rsidP="00955E8E">
    <w:pPr>
      <w:pStyle w:val="Header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743AC7" wp14:editId="155B88C0">
              <wp:simplePos x="0" y="0"/>
              <wp:positionH relativeFrom="column">
                <wp:posOffset>-104140</wp:posOffset>
              </wp:positionH>
              <wp:positionV relativeFrom="paragraph">
                <wp:posOffset>47625</wp:posOffset>
              </wp:positionV>
              <wp:extent cx="6226810" cy="0"/>
              <wp:effectExtent l="0" t="0" r="0" b="0"/>
              <wp:wrapNone/>
              <wp:docPr id="2" name="AutoShap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681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A04E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EC97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alt="&quot;&quot;" style="position:absolute;margin-left:-8.2pt;margin-top:3.75pt;width:490.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" strokecolor="#00a04e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446C"/>
    <w:multiLevelType w:val="hybridMultilevel"/>
    <w:tmpl w:val="66A07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65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00a04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53"/>
    <w:rsid w:val="00047565"/>
    <w:rsid w:val="00091527"/>
    <w:rsid w:val="0009641F"/>
    <w:rsid w:val="000E3F15"/>
    <w:rsid w:val="000E73FE"/>
    <w:rsid w:val="0010327D"/>
    <w:rsid w:val="001065E3"/>
    <w:rsid w:val="00115F29"/>
    <w:rsid w:val="00147EAD"/>
    <w:rsid w:val="001528DD"/>
    <w:rsid w:val="00156B69"/>
    <w:rsid w:val="001675DD"/>
    <w:rsid w:val="001939D2"/>
    <w:rsid w:val="001B44C9"/>
    <w:rsid w:val="00233FE1"/>
    <w:rsid w:val="00264CFD"/>
    <w:rsid w:val="002A2FC1"/>
    <w:rsid w:val="002B7D66"/>
    <w:rsid w:val="002F3CD4"/>
    <w:rsid w:val="0036786D"/>
    <w:rsid w:val="003C5443"/>
    <w:rsid w:val="003E783A"/>
    <w:rsid w:val="0044737A"/>
    <w:rsid w:val="00474C66"/>
    <w:rsid w:val="00495701"/>
    <w:rsid w:val="004C279D"/>
    <w:rsid w:val="004F36D0"/>
    <w:rsid w:val="0055344E"/>
    <w:rsid w:val="00570269"/>
    <w:rsid w:val="005814FB"/>
    <w:rsid w:val="005840F7"/>
    <w:rsid w:val="00593349"/>
    <w:rsid w:val="005C7345"/>
    <w:rsid w:val="005D58DB"/>
    <w:rsid w:val="005D7FA2"/>
    <w:rsid w:val="00600203"/>
    <w:rsid w:val="006663B3"/>
    <w:rsid w:val="006904AE"/>
    <w:rsid w:val="0069456A"/>
    <w:rsid w:val="006D1E48"/>
    <w:rsid w:val="007032CA"/>
    <w:rsid w:val="007120C8"/>
    <w:rsid w:val="007909DA"/>
    <w:rsid w:val="007C2D7A"/>
    <w:rsid w:val="007C4639"/>
    <w:rsid w:val="007F3EA4"/>
    <w:rsid w:val="00827018"/>
    <w:rsid w:val="009307FA"/>
    <w:rsid w:val="00934BB5"/>
    <w:rsid w:val="00951115"/>
    <w:rsid w:val="00955E8E"/>
    <w:rsid w:val="00966601"/>
    <w:rsid w:val="009A1D3F"/>
    <w:rsid w:val="009A441F"/>
    <w:rsid w:val="009C387A"/>
    <w:rsid w:val="009F05D8"/>
    <w:rsid w:val="00A13553"/>
    <w:rsid w:val="00A47BA9"/>
    <w:rsid w:val="00A511BA"/>
    <w:rsid w:val="00A81A06"/>
    <w:rsid w:val="00AA1241"/>
    <w:rsid w:val="00AB7340"/>
    <w:rsid w:val="00AC2AAC"/>
    <w:rsid w:val="00B26A4F"/>
    <w:rsid w:val="00B7666D"/>
    <w:rsid w:val="00BB4248"/>
    <w:rsid w:val="00BB48AB"/>
    <w:rsid w:val="00BE3A61"/>
    <w:rsid w:val="00BF3216"/>
    <w:rsid w:val="00C6004A"/>
    <w:rsid w:val="00CA5D7D"/>
    <w:rsid w:val="00CE4338"/>
    <w:rsid w:val="00D3141D"/>
    <w:rsid w:val="00D631B3"/>
    <w:rsid w:val="00D67366"/>
    <w:rsid w:val="00D837E5"/>
    <w:rsid w:val="00D853E5"/>
    <w:rsid w:val="00DD290C"/>
    <w:rsid w:val="00E206EB"/>
    <w:rsid w:val="00EA47C1"/>
    <w:rsid w:val="00EF7380"/>
    <w:rsid w:val="00F25E18"/>
    <w:rsid w:val="00F576DC"/>
    <w:rsid w:val="00F666D0"/>
    <w:rsid w:val="00F963F1"/>
    <w:rsid w:val="00FA2FF2"/>
    <w:rsid w:val="00FA629C"/>
    <w:rsid w:val="00FD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04e"/>
    </o:shapedefaults>
    <o:shapelayout v:ext="edit">
      <o:idmap v:ext="edit" data="2"/>
    </o:shapelayout>
  </w:shapeDefaults>
  <w:decimalSymbol w:val="."/>
  <w:listSeparator w:val=","/>
  <w14:docId w14:val="6A19D0ED"/>
  <w15:chartTrackingRefBased/>
  <w15:docId w15:val="{7DB37A8C-38DD-45AC-B62F-78253575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00" w:lineRule="auto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rFonts w:ascii="Tahoma" w:hAnsi="Tahoma"/>
      <w:b/>
      <w:spacing w:val="18"/>
      <w:sz w:val="28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rFonts w:ascii="Tahoma" w:hAnsi="Tahoma"/>
      <w:b/>
      <w:sz w:val="36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rFonts w:ascii="Tahoma" w:hAnsi="Tahoma"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FooterChar">
    <w:name w:val="Footer Char"/>
    <w:link w:val="Footer"/>
    <w:uiPriority w:val="99"/>
    <w:rsid w:val="005840F7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0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840F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2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06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6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90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4535F08D0C6C479A320FB2F2606C7A" ma:contentTypeVersion="4" ma:contentTypeDescription="Create a new document." ma:contentTypeScope="" ma:versionID="01f2662f93ab61ddae552317516b64f4">
  <xsd:schema xmlns:xsd="http://www.w3.org/2001/XMLSchema" xmlns:xs="http://www.w3.org/2001/XMLSchema" xmlns:p="http://schemas.microsoft.com/office/2006/metadata/properties" xmlns:ns2="1a7b6c82-a1b0-4f4e-bc62-c27043ad5059" targetNamespace="http://schemas.microsoft.com/office/2006/metadata/properties" ma:root="true" ma:fieldsID="2afb245f8e41cd97dd83c88a87daa117" ns2:_="">
    <xsd:import namespace="1a7b6c82-a1b0-4f4e-bc62-c27043ad50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b6c82-a1b0-4f4e-bc62-c27043ad5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AEBF3-09EE-47FA-A12A-81C6B66EE2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8EDCF4B-9395-4366-80CC-E86B34B066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38FB-0778-45CA-B1FE-EE98286DFB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b6c82-a1b0-4f4e-bc62-c27043ad50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1440</Characters>
  <Application>Microsoft Office Word</Application>
  <DocSecurity>0</DocSecurity>
  <Lines>36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Mark Lambert Letterhead 01 10 16</vt:lpstr>
    </vt:vector>
  </TitlesOfParts>
  <Company>Carlisle City Council, I.T. Services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 Lambert Letterhead 01 10 16</dc:title>
  <dc:subject/>
  <dc:creator>annel</dc:creator>
  <cp:keywords/>
  <dc:description/>
  <cp:lastModifiedBy>Bragg, Ali</cp:lastModifiedBy>
  <cp:revision>3</cp:revision>
  <cp:lastPrinted>2023-01-27T11:53:00Z</cp:lastPrinted>
  <dcterms:created xsi:type="dcterms:W3CDTF">2026-02-03T11:25:00Z</dcterms:created>
  <dcterms:modified xsi:type="dcterms:W3CDTF">2026-02-03T11:29:00Z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ur Ref">
    <vt:lpwstr/>
  </property>
  <property fmtid="{D5CDD505-2E9C-101B-9397-08002B2CF9AE}" pid="3" name="Your Ref">
    <vt:lpwstr/>
  </property>
  <property fmtid="{D5CDD505-2E9C-101B-9397-08002B2CF9AE}" pid="4" name="ContentTypeId">
    <vt:lpwstr>0x0101004B4535F08D0C6C479A320FB2F2606C7A</vt:lpwstr>
  </property>
  <property fmtid="{D5CDD505-2E9C-101B-9397-08002B2CF9AE}" pid="5" name="_ExtendedDescription">
    <vt:lpwstr/>
  </property>
</Properties>
</file>